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59" w:rsidRPr="000A7159" w:rsidRDefault="000A7159" w:rsidP="000A7159">
      <w:pPr>
        <w:ind w:left="637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A7159">
        <w:rPr>
          <w:rFonts w:ascii="Times New Roman" w:hAnsi="Times New Roman" w:cs="Times New Roman"/>
          <w:sz w:val="28"/>
          <w:szCs w:val="28"/>
          <w:lang w:val="ru-RU"/>
        </w:rPr>
        <w:t>Приложение №4</w:t>
      </w:r>
    </w:p>
    <w:p w:rsidR="000A7159" w:rsidRDefault="000A7159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DE450A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E450A">
        <w:rPr>
          <w:rFonts w:ascii="Times New Roman" w:hAnsi="Times New Roman" w:cs="Times New Roman"/>
          <w:sz w:val="28"/>
          <w:szCs w:val="28"/>
        </w:rPr>
        <w:t> </w:t>
      </w:r>
      <w:r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DE450A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5" w:history="1">
        <w:r w:rsidRPr="00DE450A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DE45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DE450A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DE45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E450A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DE45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E450A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DE450A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DE450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DE450A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DE450A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DE450A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 w:rsidRPr="00DE450A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DE450A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450A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4A75C5"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3. </w:t>
      </w:r>
    </w:p>
    <w:p w:rsidR="005D0C35" w:rsidRPr="00DE450A" w:rsidRDefault="005D0C35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E450A" w:rsidRPr="00DE450A">
        <w:rPr>
          <w:rFonts w:ascii="Times New Roman" w:hAnsi="Times New Roman" w:cs="Times New Roman"/>
          <w:sz w:val="28"/>
          <w:szCs w:val="28"/>
          <w:lang w:val="ru-RU"/>
        </w:rPr>
        <w:t>Лицензия на занятие судебно-экспертной деятельност</w:t>
      </w:r>
      <w:r w:rsidR="00C81995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="00DE450A"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E450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E450A" w:rsidRPr="00DE45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удебно-экспертное строительно-экономическое исследование зданий и сооружений;</w:t>
      </w:r>
      <w:r w:rsidR="00DE450A" w:rsidRPr="00DE4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450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E450A" w:rsidRPr="00DE45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удебно-экспертное строительно-техническое исследование зданий и сооружений</w:t>
      </w:r>
      <w:r w:rsidR="00DE450A" w:rsidRPr="00DE450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E45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278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824814" w:rsidRDefault="00E30B36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968E9" w:rsidRDefault="00E968E9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968E9" w:rsidRDefault="00E968E9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</w:p>
    <w:p w:rsidR="00E30B36" w:rsidRPr="00E30B36" w:rsidRDefault="00E30B36" w:rsidP="00E30B36">
      <w:pPr>
        <w:ind w:left="7080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lastRenderedPageBreak/>
        <w:t>№4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</w:p>
    <w:p w:rsidR="00E30B36" w:rsidRPr="00E30B36" w:rsidRDefault="00E30B36" w:rsidP="00E30B36">
      <w:pPr>
        <w:ind w:left="7080"/>
        <w:jc w:val="center"/>
        <w:rPr>
          <w:b/>
          <w:lang w:val="ru-RU"/>
        </w:rPr>
      </w:pP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Коммерциялық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ұсыныстар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беру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кезіндегі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міндетті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құжаттардың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тізбесі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30B36" w:rsidRDefault="00E30B36" w:rsidP="00E30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0B36" w:rsidRPr="00DE450A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тұлғаны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мемлекеттiк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тiркеу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куәлiк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әлеуеттi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өнiм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берушiнiң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берген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органның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интернет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көзiне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сілтемесі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бар (www.e.gov.kz)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жүйесін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пайдалана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:</w:t>
      </w:r>
      <w:bookmarkStart w:id="0" w:name="_GoBack"/>
      <w:bookmarkEnd w:id="0"/>
    </w:p>
    <w:p w:rsidR="00E30B36" w:rsidRPr="00DE450A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кәсіпкерлік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субъектісі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тіркелгені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құжаттың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Pr="00DE450A" w:rsidRDefault="00E30B36" w:rsidP="00E30B36">
      <w:pPr>
        <w:spacing w:after="0" w:line="240" w:lineRule="auto"/>
        <w:ind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тұлғалардың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уақытша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(консорциум)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– консорциум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шартының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консорциумға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тіркеу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куәліктердің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электрондық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көшірмелері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E30B36" w:rsidRPr="00DE450A" w:rsidRDefault="00E30B36" w:rsidP="00E30B3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Хабарландырудағы</w:t>
      </w:r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қосымшаларға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талаптарға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келуі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тапсырмасы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);</w:t>
      </w:r>
    </w:p>
    <w:p w:rsidR="00DD7A37" w:rsidRPr="00DE450A" w:rsidRDefault="007F029D" w:rsidP="00DE450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3-қосымшаға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нысан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әлеуетті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өнім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берушінің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ұсынысы</w:t>
      </w:r>
      <w:proofErr w:type="spellEnd"/>
      <w:r w:rsidRPr="00DE450A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</w:p>
    <w:p w:rsidR="005D0C35" w:rsidRPr="008D4F8C" w:rsidRDefault="00DE450A" w:rsidP="00DE450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Сот-</w:t>
      </w:r>
      <w:proofErr w:type="spellStart"/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сараптама</w:t>
      </w:r>
      <w:proofErr w:type="spellEnd"/>
      <w:r w:rsidRPr="008D4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қызметімен</w:t>
      </w:r>
      <w:proofErr w:type="spellEnd"/>
      <w:r w:rsidRPr="008D4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айналысуға</w:t>
      </w:r>
      <w:proofErr w:type="spellEnd"/>
      <w:r w:rsidRPr="008D4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Лицензия</w:t>
      </w:r>
      <w:r w:rsidRPr="008D4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Ғимараттар</w:t>
      </w:r>
      <w:proofErr w:type="spellEnd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мен 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имараттарды</w:t>
      </w:r>
      <w:proofErr w:type="spellEnd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сот-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сараптамалық</w:t>
      </w:r>
      <w:proofErr w:type="spellEnd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құрылыс-экономикалық</w:t>
      </w:r>
      <w:proofErr w:type="spellEnd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зерттеу</w:t>
      </w:r>
      <w:proofErr w:type="spellEnd"/>
      <w:r w:rsidRPr="008D4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hyperlink r:id="rId6" w:tgtFrame="_blank" w:history="1">
        <w:proofErr w:type="spellStart"/>
        <w:r w:rsidR="008D4F8C" w:rsidRPr="008D4F8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ru-RU"/>
          </w:rPr>
          <w:t>Ғимараттар</w:t>
        </w:r>
        <w:proofErr w:type="spellEnd"/>
        <w:r w:rsidR="008D4F8C" w:rsidRPr="008D4F8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ru-RU"/>
          </w:rPr>
          <w:t xml:space="preserve"> мен</w:t>
        </w:r>
        <w:r w:rsidR="008D4F8C" w:rsidRPr="008D4F8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 </w:t>
        </w:r>
      </w:hyperlink>
      <w:hyperlink r:id="rId7" w:tgtFrame="_blank" w:history="1">
        <w:proofErr w:type="spellStart"/>
        <w:r w:rsidR="008D4F8C" w:rsidRPr="008D4F8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val="ru-RU"/>
          </w:rPr>
          <w:t>имараттарды</w:t>
        </w:r>
        <w:proofErr w:type="spellEnd"/>
      </w:hyperlink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сот-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сараптамалық</w:t>
      </w:r>
      <w:proofErr w:type="spellEnd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құрылыс-техникалық</w:t>
      </w:r>
      <w:proofErr w:type="spellEnd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8D4F8C" w:rsidRPr="008D4F8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ru-RU"/>
        </w:rPr>
        <w:t>зерттеу</w:t>
      </w:r>
      <w:proofErr w:type="spellEnd"/>
      <w:r w:rsidRPr="008D4F8C"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sectPr w:rsidR="005D0C35" w:rsidRPr="008D4F8C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769D"/>
    <w:multiLevelType w:val="hybridMultilevel"/>
    <w:tmpl w:val="43E40890"/>
    <w:lvl w:ilvl="0" w:tplc="CE24DC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0A7159"/>
    <w:rsid w:val="002B59CB"/>
    <w:rsid w:val="00366BDE"/>
    <w:rsid w:val="00483232"/>
    <w:rsid w:val="004A75C5"/>
    <w:rsid w:val="005C6926"/>
    <w:rsid w:val="005D0C35"/>
    <w:rsid w:val="007F029D"/>
    <w:rsid w:val="00824814"/>
    <w:rsid w:val="00826FB1"/>
    <w:rsid w:val="00853B7A"/>
    <w:rsid w:val="008D4F8C"/>
    <w:rsid w:val="00942448"/>
    <w:rsid w:val="009C76CA"/>
    <w:rsid w:val="009F5CA0"/>
    <w:rsid w:val="00BE4278"/>
    <w:rsid w:val="00C81995"/>
    <w:rsid w:val="00CD2E62"/>
    <w:rsid w:val="00DD7A37"/>
    <w:rsid w:val="00DE450A"/>
    <w:rsid w:val="00E30B36"/>
    <w:rsid w:val="00E968E9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B36"/>
    <w:pPr>
      <w:spacing w:line="256" w:lineRule="auto"/>
      <w:ind w:left="720"/>
      <w:contextualSpacing/>
    </w:pPr>
  </w:style>
  <w:style w:type="character" w:customStyle="1" w:styleId="ezkurwreuab5ozgtqnkl">
    <w:name w:val="ezkurwreuab5ozgtqnkl"/>
    <w:basedOn w:val="a0"/>
    <w:rsid w:val="00E3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se.kz/kz/11-1-sudebno-ekspertnoe-stroitelno-ekonomicheskoe-issledovanie-zdanij-i-sooruzhe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se.kz/kz/11-2-sudebno-ekspertnoe-stroitelno-tekhnicheskoe-issledovanie-zdanij-i-sooruzhenij/" TargetMode="External"/><Relationship Id="rId5" Type="http://schemas.openxmlformats.org/officeDocument/2006/relationships/hyperlink" Target="http://www.e.gov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Баймухаметова Роза Турсыновна</cp:lastModifiedBy>
  <cp:revision>20</cp:revision>
  <dcterms:created xsi:type="dcterms:W3CDTF">2018-06-08T10:22:00Z</dcterms:created>
  <dcterms:modified xsi:type="dcterms:W3CDTF">2025-03-14T10:45:00Z</dcterms:modified>
</cp:coreProperties>
</file>